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A3A3A" w14:textId="77777777" w:rsidR="005B5E04" w:rsidRDefault="005B5E04">
      <w:pPr>
        <w:rPr>
          <w:lang w:val="en-US"/>
        </w:rPr>
      </w:pPr>
    </w:p>
    <w:p w14:paraId="212BEAF1" w14:textId="5E7F4F71" w:rsidR="006659BB" w:rsidRPr="008D6EDE" w:rsidRDefault="006659BB" w:rsidP="008D6EDE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8D6EDE">
        <w:rPr>
          <w:b/>
          <w:bCs/>
          <w:sz w:val="28"/>
          <w:szCs w:val="28"/>
          <w:u w:val="single"/>
          <w:lang w:val="en-US"/>
        </w:rPr>
        <w:t>Minutes of a Finance and Resources Committee meeting held on the 23</w:t>
      </w:r>
      <w:r w:rsidRPr="008D6EDE">
        <w:rPr>
          <w:b/>
          <w:bCs/>
          <w:sz w:val="28"/>
          <w:szCs w:val="28"/>
          <w:u w:val="single"/>
          <w:vertAlign w:val="superscript"/>
          <w:lang w:val="en-US"/>
        </w:rPr>
        <w:t>rd</w:t>
      </w:r>
      <w:r w:rsidRPr="008D6EDE">
        <w:rPr>
          <w:b/>
          <w:bCs/>
          <w:sz w:val="28"/>
          <w:szCs w:val="28"/>
          <w:u w:val="single"/>
          <w:lang w:val="en-US"/>
        </w:rPr>
        <w:t xml:space="preserve"> September 2024, at 6:30pm in the Council Chamber, Chipping Norton Town Hall</w:t>
      </w:r>
    </w:p>
    <w:p w14:paraId="665861DF" w14:textId="7C89FB91" w:rsidR="006659BB" w:rsidRDefault="006659BB">
      <w:pPr>
        <w:rPr>
          <w:lang w:val="en-US"/>
        </w:rPr>
      </w:pPr>
      <w:r>
        <w:rPr>
          <w:lang w:val="en-US"/>
        </w:rPr>
        <w:t xml:space="preserve">PRESENT: </w:t>
      </w:r>
      <w:r w:rsidR="00B565A0">
        <w:rPr>
          <w:lang w:val="en-US"/>
        </w:rPr>
        <w:t>Cllrs Ian Finney (Chair), Dom Rickard, Sandra Coleman, Mike Cahill, Alex Keyser</w:t>
      </w:r>
      <w:r w:rsidR="006D12D7">
        <w:rPr>
          <w:lang w:val="en-US"/>
        </w:rPr>
        <w:t xml:space="preserve"> (substituting)</w:t>
      </w:r>
      <w:r w:rsidR="00B868FC">
        <w:rPr>
          <w:lang w:val="en-US"/>
        </w:rPr>
        <w:t>, Emily Weaver (entered at 18:39)</w:t>
      </w:r>
    </w:p>
    <w:p w14:paraId="45C5B8B7" w14:textId="76C898C3" w:rsidR="000E3B94" w:rsidRDefault="006659BB">
      <w:pPr>
        <w:rPr>
          <w:lang w:val="en-US"/>
        </w:rPr>
      </w:pPr>
      <w:r>
        <w:rPr>
          <w:lang w:val="en-US"/>
        </w:rPr>
        <w:t xml:space="preserve">ALSO PRESENT: </w:t>
      </w:r>
      <w:r w:rsidR="00C06B83">
        <w:rPr>
          <w:lang w:val="en-US"/>
        </w:rPr>
        <w:br/>
        <w:t>Katherine Jang, Deputy Town Clerk and Estates Manager</w:t>
      </w:r>
      <w:r w:rsidR="00813759">
        <w:rPr>
          <w:lang w:val="en-US"/>
        </w:rPr>
        <w:br/>
        <w:t>Paolo Oliveri, General Maintenance Operative (entered at 18:49)</w:t>
      </w:r>
      <w:r w:rsidR="000E3B94">
        <w:rPr>
          <w:lang w:val="en-US"/>
        </w:rPr>
        <w:br/>
      </w:r>
      <w:r w:rsidR="001A1117">
        <w:rPr>
          <w:lang w:val="en-US"/>
        </w:rPr>
        <w:t>No members of the public were present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8307"/>
      </w:tblGrid>
      <w:tr w:rsidR="006659BB" w14:paraId="025C1834" w14:textId="77777777" w:rsidTr="004A6C02">
        <w:tc>
          <w:tcPr>
            <w:tcW w:w="709" w:type="dxa"/>
          </w:tcPr>
          <w:p w14:paraId="63EEF0BC" w14:textId="0246E387" w:rsidR="006659BB" w:rsidRPr="0087699F" w:rsidRDefault="006659BB">
            <w:pPr>
              <w:rPr>
                <w:b/>
                <w:bCs/>
                <w:lang w:val="en-US"/>
              </w:rPr>
            </w:pPr>
            <w:r w:rsidRPr="0087699F">
              <w:rPr>
                <w:b/>
                <w:bCs/>
                <w:lang w:val="en-US"/>
              </w:rPr>
              <w:t>FR</w:t>
            </w:r>
            <w:r w:rsidR="00F60CF1" w:rsidRPr="0087699F">
              <w:rPr>
                <w:b/>
                <w:bCs/>
                <w:lang w:val="en-US"/>
              </w:rPr>
              <w:t>14</w:t>
            </w:r>
          </w:p>
        </w:tc>
        <w:tc>
          <w:tcPr>
            <w:tcW w:w="8307" w:type="dxa"/>
          </w:tcPr>
          <w:p w14:paraId="5AFF5BFD" w14:textId="77777777" w:rsidR="006659BB" w:rsidRPr="0087699F" w:rsidRDefault="00DB68DD">
            <w:pPr>
              <w:rPr>
                <w:b/>
                <w:bCs/>
                <w:lang w:val="en-US"/>
              </w:rPr>
            </w:pPr>
            <w:r w:rsidRPr="0087699F">
              <w:rPr>
                <w:b/>
                <w:bCs/>
                <w:lang w:val="en-US"/>
              </w:rPr>
              <w:t>Apologies for absence</w:t>
            </w:r>
          </w:p>
          <w:p w14:paraId="12A3EFCF" w14:textId="075E488C" w:rsidR="00DB68DD" w:rsidRDefault="00DB68DD">
            <w:pPr>
              <w:rPr>
                <w:lang w:val="en-US"/>
              </w:rPr>
            </w:pPr>
            <w:r>
              <w:rPr>
                <w:lang w:val="en-US"/>
              </w:rPr>
              <w:t>Apologies were received from Cllr</w:t>
            </w:r>
            <w:r w:rsidR="001B5699">
              <w:rPr>
                <w:lang w:val="en-US"/>
              </w:rPr>
              <w:t>s</w:t>
            </w:r>
            <w:r>
              <w:rPr>
                <w:lang w:val="en-US"/>
              </w:rPr>
              <w:t xml:space="preserve"> Whitmil</w:t>
            </w:r>
            <w:r w:rsidR="001B5699">
              <w:rPr>
                <w:lang w:val="en-US"/>
              </w:rPr>
              <w:t>l and Bibby.</w:t>
            </w:r>
          </w:p>
          <w:p w14:paraId="60965587" w14:textId="7CE5DB19" w:rsidR="00DB68DD" w:rsidRDefault="00DB68DD">
            <w:pPr>
              <w:rPr>
                <w:lang w:val="en-US"/>
              </w:rPr>
            </w:pPr>
          </w:p>
        </w:tc>
      </w:tr>
      <w:tr w:rsidR="008D6EDE" w14:paraId="0F7D7A6B" w14:textId="77777777" w:rsidTr="004A6C02">
        <w:tc>
          <w:tcPr>
            <w:tcW w:w="709" w:type="dxa"/>
          </w:tcPr>
          <w:p w14:paraId="1A2C4622" w14:textId="495661A4" w:rsidR="008D6EDE" w:rsidRPr="0087699F" w:rsidRDefault="00DB68DD">
            <w:pPr>
              <w:rPr>
                <w:b/>
                <w:bCs/>
                <w:lang w:val="en-US"/>
              </w:rPr>
            </w:pPr>
            <w:r w:rsidRPr="0087699F">
              <w:rPr>
                <w:b/>
                <w:bCs/>
                <w:lang w:val="en-US"/>
              </w:rPr>
              <w:t>FR15</w:t>
            </w:r>
          </w:p>
        </w:tc>
        <w:tc>
          <w:tcPr>
            <w:tcW w:w="8307" w:type="dxa"/>
          </w:tcPr>
          <w:p w14:paraId="5D912452" w14:textId="77777777" w:rsidR="008D6EDE" w:rsidRPr="0087699F" w:rsidRDefault="00DB68DD">
            <w:pPr>
              <w:rPr>
                <w:b/>
                <w:bCs/>
                <w:lang w:val="en-US"/>
              </w:rPr>
            </w:pPr>
            <w:r w:rsidRPr="0087699F">
              <w:rPr>
                <w:b/>
                <w:bCs/>
                <w:lang w:val="en-US"/>
              </w:rPr>
              <w:t>Declaration of interests</w:t>
            </w:r>
          </w:p>
          <w:p w14:paraId="6D731BF2" w14:textId="77777777" w:rsidR="00DB68DD" w:rsidRDefault="00DB68DD">
            <w:pPr>
              <w:rPr>
                <w:lang w:val="en-US"/>
              </w:rPr>
            </w:pPr>
            <w:r>
              <w:rPr>
                <w:lang w:val="en-US"/>
              </w:rPr>
              <w:t>None received</w:t>
            </w:r>
          </w:p>
          <w:p w14:paraId="2F8B5660" w14:textId="7BE2AC75" w:rsidR="00DB68DD" w:rsidRDefault="00DB68DD">
            <w:pPr>
              <w:rPr>
                <w:lang w:val="en-US"/>
              </w:rPr>
            </w:pPr>
          </w:p>
        </w:tc>
      </w:tr>
      <w:tr w:rsidR="008D6EDE" w14:paraId="186DE8CD" w14:textId="77777777" w:rsidTr="004A6C02">
        <w:tc>
          <w:tcPr>
            <w:tcW w:w="709" w:type="dxa"/>
          </w:tcPr>
          <w:p w14:paraId="5723585D" w14:textId="0FEC9844" w:rsidR="008D6EDE" w:rsidRPr="0087699F" w:rsidRDefault="00DB68DD">
            <w:pPr>
              <w:rPr>
                <w:b/>
                <w:bCs/>
                <w:lang w:val="en-US"/>
              </w:rPr>
            </w:pPr>
            <w:r w:rsidRPr="0087699F">
              <w:rPr>
                <w:b/>
                <w:bCs/>
                <w:lang w:val="en-US"/>
              </w:rPr>
              <w:t>FR16</w:t>
            </w:r>
          </w:p>
        </w:tc>
        <w:tc>
          <w:tcPr>
            <w:tcW w:w="8307" w:type="dxa"/>
          </w:tcPr>
          <w:p w14:paraId="09C7437C" w14:textId="77777777" w:rsidR="008D6EDE" w:rsidRPr="0087699F" w:rsidRDefault="0087699F">
            <w:pPr>
              <w:rPr>
                <w:b/>
                <w:bCs/>
                <w:lang w:val="en-US"/>
              </w:rPr>
            </w:pPr>
            <w:r w:rsidRPr="0087699F">
              <w:rPr>
                <w:b/>
                <w:bCs/>
                <w:lang w:val="en-US"/>
              </w:rPr>
              <w:t>Minutes</w:t>
            </w:r>
          </w:p>
          <w:p w14:paraId="0757AE43" w14:textId="302128A5" w:rsidR="0087699F" w:rsidRDefault="0087699F" w:rsidP="0087699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87699F">
              <w:rPr>
                <w:b/>
                <w:bCs/>
                <w:lang w:val="en-US"/>
              </w:rPr>
              <w:t>RESOLVED:</w:t>
            </w:r>
            <w:r>
              <w:rPr>
                <w:lang w:val="en-US"/>
              </w:rPr>
              <w:t xml:space="preserve"> That </w:t>
            </w:r>
            <w:r w:rsidR="006B5086">
              <w:rPr>
                <w:lang w:val="en-US"/>
              </w:rPr>
              <w:t>the Chair signed and</w:t>
            </w:r>
            <w:r>
              <w:rPr>
                <w:lang w:val="en-US"/>
              </w:rPr>
              <w:t xml:space="preserve"> approved the minutes of the Finance and Resources Committee meeting</w:t>
            </w:r>
            <w:r w:rsidR="006B5086">
              <w:rPr>
                <w:lang w:val="en-US"/>
              </w:rPr>
              <w:t xml:space="preserve"> as</w:t>
            </w:r>
            <w:r w:rsidR="001C188B">
              <w:rPr>
                <w:lang w:val="en-US"/>
              </w:rPr>
              <w:t xml:space="preserve"> an accurate record</w:t>
            </w:r>
            <w:r>
              <w:rPr>
                <w:lang w:val="en-US"/>
              </w:rPr>
              <w:t xml:space="preserve"> held on the 8</w:t>
            </w:r>
            <w:r w:rsidRPr="0087699F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July 2024.</w:t>
            </w:r>
          </w:p>
          <w:p w14:paraId="3C63EBE0" w14:textId="6264B60C" w:rsidR="0087699F" w:rsidRDefault="0087699F" w:rsidP="0087699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Members noted the minutes of the Staffing Sub-Committee held on the 13</w:t>
            </w:r>
            <w:r w:rsidRPr="0087699F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August 2024.</w:t>
            </w:r>
          </w:p>
          <w:p w14:paraId="0201C1A1" w14:textId="5265C3E2" w:rsidR="0087699F" w:rsidRPr="0087699F" w:rsidRDefault="0087699F" w:rsidP="0087699F">
            <w:pPr>
              <w:pStyle w:val="ListParagraph"/>
              <w:rPr>
                <w:lang w:val="en-US"/>
              </w:rPr>
            </w:pPr>
          </w:p>
        </w:tc>
      </w:tr>
      <w:tr w:rsidR="008D6EDE" w14:paraId="57F51F1F" w14:textId="77777777" w:rsidTr="004A6C02">
        <w:tc>
          <w:tcPr>
            <w:tcW w:w="709" w:type="dxa"/>
          </w:tcPr>
          <w:p w14:paraId="001D3AA0" w14:textId="40F3912E" w:rsidR="008D6EDE" w:rsidRPr="0087699F" w:rsidRDefault="00DB68DD">
            <w:pPr>
              <w:rPr>
                <w:b/>
                <w:bCs/>
                <w:lang w:val="en-US"/>
              </w:rPr>
            </w:pPr>
            <w:r w:rsidRPr="0087699F">
              <w:rPr>
                <w:b/>
                <w:bCs/>
                <w:lang w:val="en-US"/>
              </w:rPr>
              <w:t>FR17</w:t>
            </w:r>
          </w:p>
        </w:tc>
        <w:tc>
          <w:tcPr>
            <w:tcW w:w="8307" w:type="dxa"/>
          </w:tcPr>
          <w:p w14:paraId="6EF41B9E" w14:textId="77777777" w:rsidR="008D6EDE" w:rsidRPr="0087699F" w:rsidRDefault="0087699F">
            <w:pPr>
              <w:rPr>
                <w:b/>
                <w:bCs/>
                <w:lang w:val="en-US"/>
              </w:rPr>
            </w:pPr>
            <w:r w:rsidRPr="0087699F">
              <w:rPr>
                <w:b/>
                <w:bCs/>
                <w:lang w:val="en-US"/>
              </w:rPr>
              <w:t>Public Participation</w:t>
            </w:r>
          </w:p>
          <w:p w14:paraId="29028EC2" w14:textId="77777777" w:rsidR="0087699F" w:rsidRDefault="0087699F">
            <w:pPr>
              <w:rPr>
                <w:lang w:val="en-US"/>
              </w:rPr>
            </w:pPr>
            <w:r>
              <w:rPr>
                <w:lang w:val="en-US"/>
              </w:rPr>
              <w:t>None received</w:t>
            </w:r>
          </w:p>
          <w:p w14:paraId="7C5EB28F" w14:textId="511998EE" w:rsidR="0087699F" w:rsidRDefault="0087699F">
            <w:pPr>
              <w:rPr>
                <w:lang w:val="en-US"/>
              </w:rPr>
            </w:pPr>
          </w:p>
        </w:tc>
      </w:tr>
      <w:tr w:rsidR="008D6EDE" w14:paraId="3CD69E0A" w14:textId="77777777" w:rsidTr="004A6C02">
        <w:tc>
          <w:tcPr>
            <w:tcW w:w="709" w:type="dxa"/>
          </w:tcPr>
          <w:p w14:paraId="2C82BA61" w14:textId="3FBD277E" w:rsidR="008D6EDE" w:rsidRPr="0087699F" w:rsidRDefault="00DB68DD">
            <w:pPr>
              <w:rPr>
                <w:b/>
                <w:bCs/>
                <w:lang w:val="en-US"/>
              </w:rPr>
            </w:pPr>
            <w:r w:rsidRPr="0087699F">
              <w:rPr>
                <w:b/>
                <w:bCs/>
                <w:lang w:val="en-US"/>
              </w:rPr>
              <w:t>FR18</w:t>
            </w:r>
          </w:p>
        </w:tc>
        <w:tc>
          <w:tcPr>
            <w:tcW w:w="8307" w:type="dxa"/>
          </w:tcPr>
          <w:p w14:paraId="462E668F" w14:textId="77777777" w:rsidR="008D6EDE" w:rsidRPr="0087699F" w:rsidRDefault="0087699F">
            <w:pPr>
              <w:rPr>
                <w:b/>
                <w:bCs/>
                <w:lang w:val="en-US"/>
              </w:rPr>
            </w:pPr>
            <w:r w:rsidRPr="0087699F">
              <w:rPr>
                <w:b/>
                <w:bCs/>
                <w:lang w:val="en-US"/>
              </w:rPr>
              <w:t>Committee Action Plan</w:t>
            </w:r>
          </w:p>
          <w:p w14:paraId="1D13E52F" w14:textId="65F8A1FB" w:rsidR="0087699F" w:rsidRDefault="0087699F">
            <w:pPr>
              <w:rPr>
                <w:lang w:val="en-US"/>
              </w:rPr>
            </w:pPr>
            <w:r>
              <w:rPr>
                <w:lang w:val="en-US"/>
              </w:rPr>
              <w:t>Members reviewed the ongoing committee action plan</w:t>
            </w:r>
            <w:r w:rsidR="000E02DD">
              <w:rPr>
                <w:lang w:val="en-US"/>
              </w:rPr>
              <w:t>.</w:t>
            </w:r>
          </w:p>
          <w:p w14:paraId="2E34DB87" w14:textId="52995166" w:rsidR="0087699F" w:rsidRDefault="0087699F">
            <w:pPr>
              <w:rPr>
                <w:lang w:val="en-US"/>
              </w:rPr>
            </w:pPr>
          </w:p>
        </w:tc>
      </w:tr>
      <w:tr w:rsidR="008D6EDE" w14:paraId="06DF4288" w14:textId="77777777" w:rsidTr="004A6C02">
        <w:tc>
          <w:tcPr>
            <w:tcW w:w="709" w:type="dxa"/>
          </w:tcPr>
          <w:p w14:paraId="606C8F32" w14:textId="73724933" w:rsidR="008D6EDE" w:rsidRPr="0087699F" w:rsidRDefault="00DB68DD">
            <w:pPr>
              <w:rPr>
                <w:b/>
                <w:bCs/>
                <w:lang w:val="en-US"/>
              </w:rPr>
            </w:pPr>
            <w:r w:rsidRPr="0087699F">
              <w:rPr>
                <w:b/>
                <w:bCs/>
                <w:lang w:val="en-US"/>
              </w:rPr>
              <w:t>FR19</w:t>
            </w:r>
          </w:p>
        </w:tc>
        <w:tc>
          <w:tcPr>
            <w:tcW w:w="8307" w:type="dxa"/>
          </w:tcPr>
          <w:p w14:paraId="74250706" w14:textId="77777777" w:rsidR="008D6EDE" w:rsidRPr="00D34CFB" w:rsidRDefault="00801919">
            <w:pPr>
              <w:rPr>
                <w:b/>
                <w:bCs/>
                <w:lang w:val="en-US"/>
              </w:rPr>
            </w:pPr>
            <w:r w:rsidRPr="00D34CFB">
              <w:rPr>
                <w:b/>
                <w:bCs/>
                <w:lang w:val="en-US"/>
              </w:rPr>
              <w:t>Income and Expenditure</w:t>
            </w:r>
          </w:p>
          <w:p w14:paraId="6A0FFCB8" w14:textId="73B4BBBD" w:rsidR="00801919" w:rsidRDefault="00801919">
            <w:pPr>
              <w:rPr>
                <w:lang w:val="en-US"/>
              </w:rPr>
            </w:pPr>
            <w:r>
              <w:rPr>
                <w:lang w:val="en-US"/>
              </w:rPr>
              <w:t>Members received detailed current income and expenditure reports by budget heading</w:t>
            </w:r>
            <w:r w:rsidR="00D34CFB">
              <w:rPr>
                <w:lang w:val="en-US"/>
              </w:rPr>
              <w:t>.</w:t>
            </w:r>
            <w:r w:rsidR="0054559D">
              <w:rPr>
                <w:lang w:val="en-US"/>
              </w:rPr>
              <w:br/>
            </w:r>
            <w:r w:rsidR="0020708A">
              <w:rPr>
                <w:lang w:val="en-US"/>
              </w:rPr>
              <w:t xml:space="preserve">Members noted that the Legal and Professional Fees have been overspent, </w:t>
            </w:r>
            <w:r w:rsidR="00F70AFB">
              <w:rPr>
                <w:lang w:val="en-US"/>
              </w:rPr>
              <w:t xml:space="preserve">but members are aware </w:t>
            </w:r>
            <w:r w:rsidR="00535CA9">
              <w:rPr>
                <w:lang w:val="en-US"/>
              </w:rPr>
              <w:t xml:space="preserve">that this is </w:t>
            </w:r>
            <w:r w:rsidR="00565106">
              <w:rPr>
                <w:lang w:val="en-US"/>
              </w:rPr>
              <w:t xml:space="preserve">due to retaining the external health and safety consultant. </w:t>
            </w:r>
            <w:r w:rsidR="00091385">
              <w:rPr>
                <w:lang w:val="en-US"/>
              </w:rPr>
              <w:br/>
            </w:r>
            <w:r w:rsidR="00535CA9">
              <w:rPr>
                <w:lang w:val="en-US"/>
              </w:rPr>
              <w:br/>
              <w:t>6417 – Pool Meadow</w:t>
            </w:r>
            <w:r w:rsidR="006C3896">
              <w:rPr>
                <w:lang w:val="en-US"/>
              </w:rPr>
              <w:t xml:space="preserve">: Members noted that the overspend was due to medium priority tree works undertaken. </w:t>
            </w:r>
            <w:r w:rsidR="00091385">
              <w:rPr>
                <w:lang w:val="en-US"/>
              </w:rPr>
              <w:br/>
            </w:r>
            <w:r w:rsidR="00D379B4">
              <w:rPr>
                <w:lang w:val="en-US"/>
              </w:rPr>
              <w:br/>
            </w:r>
            <w:r w:rsidR="00D064DA">
              <w:rPr>
                <w:lang w:val="en-US"/>
              </w:rPr>
              <w:t>6408 – Members queried the £15,000 budget for the Town Hall equipment and asked if there were plans to upgrade the PA system in the Upper Hall</w:t>
            </w:r>
            <w:r w:rsidR="006C3896">
              <w:rPr>
                <w:lang w:val="en-US"/>
              </w:rPr>
              <w:t xml:space="preserve">. To follow up with the </w:t>
            </w:r>
            <w:r w:rsidR="006C3896">
              <w:rPr>
                <w:lang w:val="en-US"/>
              </w:rPr>
              <w:lastRenderedPageBreak/>
              <w:t xml:space="preserve">Facilities and Events Officer and Cllr Keyser following their recent meeting with an audio engineer. </w:t>
            </w:r>
          </w:p>
          <w:p w14:paraId="3FBE696D" w14:textId="7A13EAF1" w:rsidR="00801919" w:rsidRDefault="00801919" w:rsidP="006F17B3">
            <w:pPr>
              <w:rPr>
                <w:lang w:val="en-US"/>
              </w:rPr>
            </w:pPr>
          </w:p>
        </w:tc>
      </w:tr>
      <w:tr w:rsidR="008D6EDE" w14:paraId="78C6EA0D" w14:textId="77777777" w:rsidTr="004A6C02">
        <w:tc>
          <w:tcPr>
            <w:tcW w:w="709" w:type="dxa"/>
          </w:tcPr>
          <w:p w14:paraId="36928154" w14:textId="51ADFFC7" w:rsidR="008D6EDE" w:rsidRPr="0087699F" w:rsidRDefault="00DB68DD">
            <w:pPr>
              <w:rPr>
                <w:b/>
                <w:bCs/>
                <w:lang w:val="en-US"/>
              </w:rPr>
            </w:pPr>
            <w:r w:rsidRPr="0087699F">
              <w:rPr>
                <w:b/>
                <w:bCs/>
                <w:lang w:val="en-US"/>
              </w:rPr>
              <w:lastRenderedPageBreak/>
              <w:t>FR20</w:t>
            </w:r>
          </w:p>
        </w:tc>
        <w:tc>
          <w:tcPr>
            <w:tcW w:w="8307" w:type="dxa"/>
          </w:tcPr>
          <w:p w14:paraId="2FB0DCFD" w14:textId="77777777" w:rsidR="008D6EDE" w:rsidRPr="00D34CFB" w:rsidRDefault="00D34CFB">
            <w:pPr>
              <w:rPr>
                <w:b/>
                <w:bCs/>
                <w:lang w:val="en-US"/>
              </w:rPr>
            </w:pPr>
            <w:r w:rsidRPr="00D34CFB">
              <w:rPr>
                <w:b/>
                <w:bCs/>
                <w:lang w:val="en-US"/>
              </w:rPr>
              <w:t>Schedule of payments for approval</w:t>
            </w:r>
          </w:p>
          <w:p w14:paraId="617AA20D" w14:textId="338B05ED" w:rsidR="00D34CFB" w:rsidRDefault="00D34CFB">
            <w:pPr>
              <w:rPr>
                <w:lang w:val="en-US"/>
              </w:rPr>
            </w:pPr>
            <w:r>
              <w:rPr>
                <w:lang w:val="en-US"/>
              </w:rPr>
              <w:t>Members received the schedule of payments</w:t>
            </w:r>
            <w:r w:rsidR="006F17B3">
              <w:rPr>
                <w:lang w:val="en-US"/>
              </w:rPr>
              <w:br/>
              <w:t xml:space="preserve">Members noted that the portion of the Guildhall rent that the Town Council </w:t>
            </w:r>
            <w:r w:rsidR="009B3CA7">
              <w:rPr>
                <w:lang w:val="en-US"/>
              </w:rPr>
              <w:t xml:space="preserve">pays has </w:t>
            </w:r>
            <w:r w:rsidR="006F17B3">
              <w:rPr>
                <w:lang w:val="en-US"/>
              </w:rPr>
              <w:t xml:space="preserve">exceeded the budget due to the work taking place to replace the fire doors. </w:t>
            </w:r>
            <w:r w:rsidR="004D2F69">
              <w:rPr>
                <w:lang w:val="en-US"/>
              </w:rPr>
              <w:t xml:space="preserve">As the Town Council has a Licence to Occupy and not a traditional lease, </w:t>
            </w:r>
            <w:r w:rsidR="00BB33CA">
              <w:rPr>
                <w:lang w:val="en-US"/>
              </w:rPr>
              <w:t xml:space="preserve">the Town Council is </w:t>
            </w:r>
            <w:r w:rsidR="004D2F69">
              <w:rPr>
                <w:lang w:val="en-US"/>
              </w:rPr>
              <w:t xml:space="preserve">obligated to pay for a portion of any work taking place </w:t>
            </w:r>
            <w:r w:rsidR="00186712">
              <w:rPr>
                <w:lang w:val="en-US"/>
              </w:rPr>
              <w:t xml:space="preserve">on site. </w:t>
            </w:r>
            <w:r w:rsidR="006F17B3">
              <w:rPr>
                <w:lang w:val="en-US"/>
              </w:rPr>
              <w:t xml:space="preserve">This will be marked as an overspend from general reserves. </w:t>
            </w:r>
          </w:p>
          <w:p w14:paraId="002BF612" w14:textId="1D07D932" w:rsidR="00BB33CA" w:rsidRDefault="00BB33CA">
            <w:pPr>
              <w:rPr>
                <w:lang w:val="en-US"/>
              </w:rPr>
            </w:pPr>
            <w:r>
              <w:rPr>
                <w:lang w:val="en-US"/>
              </w:rPr>
              <w:t xml:space="preserve">Members noted that the </w:t>
            </w:r>
            <w:r w:rsidR="00A9577E">
              <w:rPr>
                <w:lang w:val="en-US"/>
              </w:rPr>
              <w:t>£13,554.</w:t>
            </w:r>
            <w:r w:rsidR="00E66E05">
              <w:rPr>
                <w:lang w:val="en-US"/>
              </w:rPr>
              <w:t xml:space="preserve">45 payment would be taken from general reserves. </w:t>
            </w:r>
          </w:p>
          <w:p w14:paraId="2D783CF2" w14:textId="43959F3E" w:rsidR="00D34CFB" w:rsidRDefault="00D34CFB">
            <w:pPr>
              <w:rPr>
                <w:lang w:val="en-US"/>
              </w:rPr>
            </w:pPr>
          </w:p>
        </w:tc>
      </w:tr>
      <w:tr w:rsidR="008D6EDE" w14:paraId="4EFE3D02" w14:textId="77777777" w:rsidTr="004A6C02">
        <w:tc>
          <w:tcPr>
            <w:tcW w:w="709" w:type="dxa"/>
          </w:tcPr>
          <w:p w14:paraId="5BF894EC" w14:textId="12DCCCBB" w:rsidR="008D6EDE" w:rsidRPr="0087699F" w:rsidRDefault="00D34C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FR21</w:t>
            </w:r>
          </w:p>
        </w:tc>
        <w:tc>
          <w:tcPr>
            <w:tcW w:w="8307" w:type="dxa"/>
          </w:tcPr>
          <w:p w14:paraId="16688058" w14:textId="77777777" w:rsidR="008D6EDE" w:rsidRPr="00D34CFB" w:rsidRDefault="00D34CFB">
            <w:pPr>
              <w:rPr>
                <w:b/>
                <w:bCs/>
                <w:lang w:val="en-US"/>
              </w:rPr>
            </w:pPr>
            <w:r w:rsidRPr="00D34CFB">
              <w:rPr>
                <w:b/>
                <w:bCs/>
                <w:lang w:val="en-US"/>
              </w:rPr>
              <w:t>Appointment of Internal Auditor</w:t>
            </w:r>
          </w:p>
          <w:p w14:paraId="709DB689" w14:textId="77777777" w:rsidR="00E66E05" w:rsidRDefault="00D34CFB">
            <w:pPr>
              <w:rPr>
                <w:lang w:val="en-US"/>
              </w:rPr>
            </w:pPr>
            <w:r>
              <w:rPr>
                <w:lang w:val="en-US"/>
              </w:rPr>
              <w:t xml:space="preserve">Members received a report from the Responsible Finance Officer regarding the appointment of the Council’s internal auditor. </w:t>
            </w:r>
          </w:p>
          <w:p w14:paraId="745B73CD" w14:textId="3144CBBE" w:rsidR="00D34CFB" w:rsidRDefault="00E66E05">
            <w:pPr>
              <w:rPr>
                <w:lang w:val="en-US"/>
              </w:rPr>
            </w:pPr>
            <w:r>
              <w:rPr>
                <w:lang w:val="en-US"/>
              </w:rPr>
              <w:t>Cllrs noted that it is good practice to regularly change internal auditors, and agreed to change next year which would mark 5-year</w:t>
            </w:r>
            <w:r w:rsidR="007F0FCE">
              <w:rPr>
                <w:lang w:val="en-US"/>
              </w:rPr>
              <w:t xml:space="preserve">s </w:t>
            </w:r>
            <w:r>
              <w:rPr>
                <w:lang w:val="en-US"/>
              </w:rPr>
              <w:t xml:space="preserve">with the current auditor. </w:t>
            </w:r>
            <w:r w:rsidR="003F1561">
              <w:rPr>
                <w:lang w:val="en-US"/>
              </w:rPr>
              <w:br/>
            </w:r>
            <w:r>
              <w:rPr>
                <w:lang w:val="en-US"/>
              </w:rPr>
              <w:t xml:space="preserve">Cllr </w:t>
            </w:r>
            <w:r w:rsidR="003F1561">
              <w:rPr>
                <w:lang w:val="en-US"/>
              </w:rPr>
              <w:t>Rickard</w:t>
            </w:r>
            <w:r>
              <w:rPr>
                <w:lang w:val="en-US"/>
              </w:rPr>
              <w:t xml:space="preserve"> proposed to continue with </w:t>
            </w:r>
            <w:r w:rsidR="00F56CD8">
              <w:rPr>
                <w:lang w:val="en-US"/>
              </w:rPr>
              <w:t>the current internal auditor for another year</w:t>
            </w:r>
            <w:r w:rsidR="003F1561">
              <w:rPr>
                <w:lang w:val="en-US"/>
              </w:rPr>
              <w:t xml:space="preserve">, seconded by Cahill. All in favour, motion carried. </w:t>
            </w:r>
            <w:r w:rsidR="00D34CFB">
              <w:rPr>
                <w:lang w:val="en-US"/>
              </w:rPr>
              <w:br/>
            </w:r>
            <w:r w:rsidR="00D34CFB" w:rsidRPr="00F56CD8">
              <w:rPr>
                <w:b/>
                <w:bCs/>
                <w:lang w:val="en-US"/>
              </w:rPr>
              <w:t xml:space="preserve">RESOLVED: </w:t>
            </w:r>
            <w:r w:rsidR="0074422D">
              <w:rPr>
                <w:lang w:val="en-US"/>
              </w:rPr>
              <w:t xml:space="preserve">That the Council </w:t>
            </w:r>
            <w:r w:rsidR="003F1561">
              <w:rPr>
                <w:lang w:val="en-US"/>
              </w:rPr>
              <w:t>chooses to appoint</w:t>
            </w:r>
            <w:r w:rsidR="00BE56F7">
              <w:rPr>
                <w:lang w:val="en-US"/>
              </w:rPr>
              <w:t xml:space="preserve"> </w:t>
            </w:r>
            <w:r w:rsidR="00ED3D17">
              <w:rPr>
                <w:lang w:val="en-US"/>
              </w:rPr>
              <w:t>Auditing Solutions Ltd</w:t>
            </w:r>
            <w:r w:rsidR="0065123E">
              <w:rPr>
                <w:lang w:val="en-US"/>
              </w:rPr>
              <w:t xml:space="preserve"> for the current financial year</w:t>
            </w:r>
            <w:r w:rsidR="00B17EA7">
              <w:rPr>
                <w:lang w:val="en-US"/>
              </w:rPr>
              <w:t xml:space="preserve">. </w:t>
            </w:r>
          </w:p>
          <w:p w14:paraId="6A761486" w14:textId="15C47ADD" w:rsidR="00D34CFB" w:rsidRDefault="00D34CFB">
            <w:pPr>
              <w:rPr>
                <w:lang w:val="en-US"/>
              </w:rPr>
            </w:pPr>
          </w:p>
        </w:tc>
      </w:tr>
      <w:tr w:rsidR="008D6EDE" w14:paraId="5F1CFD09" w14:textId="77777777" w:rsidTr="004A6C02">
        <w:tc>
          <w:tcPr>
            <w:tcW w:w="709" w:type="dxa"/>
          </w:tcPr>
          <w:p w14:paraId="25F6FC96" w14:textId="504D4260" w:rsidR="008D6EDE" w:rsidRPr="0087699F" w:rsidRDefault="00D34C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FR22</w:t>
            </w:r>
          </w:p>
        </w:tc>
        <w:tc>
          <w:tcPr>
            <w:tcW w:w="8307" w:type="dxa"/>
          </w:tcPr>
          <w:p w14:paraId="799CE872" w14:textId="77777777" w:rsidR="008D6EDE" w:rsidRPr="003542ED" w:rsidRDefault="00527CBB">
            <w:pPr>
              <w:rPr>
                <w:b/>
                <w:bCs/>
                <w:lang w:val="en-US"/>
              </w:rPr>
            </w:pPr>
            <w:r w:rsidRPr="003542ED">
              <w:rPr>
                <w:b/>
                <w:bCs/>
                <w:lang w:val="en-US"/>
              </w:rPr>
              <w:t>External Audit Report and Certificate</w:t>
            </w:r>
          </w:p>
          <w:p w14:paraId="79445966" w14:textId="79624B0C" w:rsidR="00527CBB" w:rsidRDefault="00527CBB">
            <w:pPr>
              <w:rPr>
                <w:lang w:val="en-US"/>
              </w:rPr>
            </w:pPr>
            <w:r>
              <w:rPr>
                <w:lang w:val="en-US"/>
              </w:rPr>
              <w:t xml:space="preserve">Members received the report from the Council’s external auditor and noted the statement of conclusion of audit. </w:t>
            </w:r>
            <w:r w:rsidR="00CB51A1">
              <w:rPr>
                <w:lang w:val="en-US"/>
              </w:rPr>
              <w:br/>
              <w:t xml:space="preserve">Members thanked </w:t>
            </w:r>
            <w:r w:rsidR="00F56CD8">
              <w:rPr>
                <w:lang w:val="en-US"/>
              </w:rPr>
              <w:t>the Responsible Finance Officer</w:t>
            </w:r>
            <w:r w:rsidR="00CB51A1">
              <w:rPr>
                <w:lang w:val="en-US"/>
              </w:rPr>
              <w:t xml:space="preserve"> for her hard work</w:t>
            </w:r>
            <w:r w:rsidR="00F56CD8">
              <w:rPr>
                <w:lang w:val="en-US"/>
              </w:rPr>
              <w:t xml:space="preserve"> </w:t>
            </w:r>
            <w:r w:rsidR="0051423E">
              <w:rPr>
                <w:lang w:val="en-US"/>
              </w:rPr>
              <w:t xml:space="preserve">to ensure that the audit went smoothly. </w:t>
            </w:r>
          </w:p>
          <w:p w14:paraId="0F44D7F1" w14:textId="57D2752D" w:rsidR="00527CBB" w:rsidRDefault="00527CBB">
            <w:pPr>
              <w:rPr>
                <w:lang w:val="en-US"/>
              </w:rPr>
            </w:pPr>
          </w:p>
        </w:tc>
      </w:tr>
      <w:tr w:rsidR="008D6EDE" w14:paraId="0EE6EF40" w14:textId="77777777" w:rsidTr="004A6C02">
        <w:tc>
          <w:tcPr>
            <w:tcW w:w="709" w:type="dxa"/>
          </w:tcPr>
          <w:p w14:paraId="14936DC5" w14:textId="68C85344" w:rsidR="008D6EDE" w:rsidRPr="0087699F" w:rsidRDefault="00527CB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FR23</w:t>
            </w:r>
          </w:p>
        </w:tc>
        <w:tc>
          <w:tcPr>
            <w:tcW w:w="8307" w:type="dxa"/>
          </w:tcPr>
          <w:p w14:paraId="366844DA" w14:textId="77777777" w:rsidR="008D6EDE" w:rsidRPr="004A6C02" w:rsidRDefault="00527CBB">
            <w:pPr>
              <w:rPr>
                <w:b/>
                <w:bCs/>
                <w:lang w:val="en-US"/>
              </w:rPr>
            </w:pPr>
            <w:r w:rsidRPr="004A6C02">
              <w:rPr>
                <w:b/>
                <w:bCs/>
                <w:lang w:val="en-US"/>
              </w:rPr>
              <w:t>Retained HR Services</w:t>
            </w:r>
          </w:p>
          <w:p w14:paraId="1EADB8DB" w14:textId="31E12CA8" w:rsidR="00527CBB" w:rsidRDefault="00527CBB">
            <w:pPr>
              <w:rPr>
                <w:lang w:val="en-US"/>
              </w:rPr>
            </w:pPr>
            <w:r>
              <w:rPr>
                <w:lang w:val="en-US"/>
              </w:rPr>
              <w:t xml:space="preserve">Members received a recommendation from the Staffing Sub-Committee regarding retaining an external HR consultant. </w:t>
            </w:r>
            <w:r w:rsidR="00CB51A1">
              <w:rPr>
                <w:lang w:val="en-US"/>
              </w:rPr>
              <w:br/>
            </w:r>
            <w:r w:rsidR="00E415B5">
              <w:rPr>
                <w:lang w:val="en-US"/>
              </w:rPr>
              <w:t>Cllr Coleman proposed</w:t>
            </w:r>
            <w:r w:rsidR="0051423E">
              <w:rPr>
                <w:lang w:val="en-US"/>
              </w:rPr>
              <w:t xml:space="preserve"> to accept the quote to retain an external HR consultant</w:t>
            </w:r>
            <w:r w:rsidR="00516B0D">
              <w:rPr>
                <w:lang w:val="en-US"/>
              </w:rPr>
              <w:t xml:space="preserve"> (Critchley’s HR Services)</w:t>
            </w:r>
            <w:r w:rsidR="00E415B5">
              <w:rPr>
                <w:lang w:val="en-US"/>
              </w:rPr>
              <w:t xml:space="preserve">, seconded by Cllr Cahill. All in favour, motion carried. </w:t>
            </w:r>
          </w:p>
          <w:p w14:paraId="29D5A9CB" w14:textId="59438917" w:rsidR="00527CBB" w:rsidRDefault="00527CBB">
            <w:pPr>
              <w:rPr>
                <w:lang w:val="en-US"/>
              </w:rPr>
            </w:pPr>
            <w:r w:rsidRPr="00516B0D">
              <w:rPr>
                <w:b/>
                <w:bCs/>
                <w:lang w:val="en-US"/>
              </w:rPr>
              <w:t>RESOLVED:</w:t>
            </w:r>
            <w:r>
              <w:rPr>
                <w:lang w:val="en-US"/>
              </w:rPr>
              <w:t xml:space="preserve"> </w:t>
            </w:r>
            <w:r w:rsidR="0051423E">
              <w:rPr>
                <w:lang w:val="en-US"/>
              </w:rPr>
              <w:t xml:space="preserve">That the council agrees to retain </w:t>
            </w:r>
            <w:r w:rsidR="00516B0D">
              <w:rPr>
                <w:lang w:val="en-US"/>
              </w:rPr>
              <w:t>Critchley’s HR Services</w:t>
            </w:r>
            <w:r w:rsidR="0051423E">
              <w:rPr>
                <w:lang w:val="en-US"/>
              </w:rPr>
              <w:t xml:space="preserve"> at an ongoing cost of </w:t>
            </w:r>
            <w:r w:rsidR="00516B0D">
              <w:rPr>
                <w:lang w:val="en-US"/>
              </w:rPr>
              <w:t>£195 per month</w:t>
            </w:r>
            <w:r w:rsidR="00AA2BA3">
              <w:rPr>
                <w:lang w:val="en-US"/>
              </w:rPr>
              <w:t xml:space="preserve"> excluding VAT</w:t>
            </w:r>
            <w:r w:rsidR="00516B0D">
              <w:rPr>
                <w:lang w:val="en-US"/>
              </w:rPr>
              <w:t xml:space="preserve">. </w:t>
            </w:r>
          </w:p>
          <w:p w14:paraId="76E6CA2C" w14:textId="4C70A5CA" w:rsidR="00527CBB" w:rsidRDefault="00527CBB">
            <w:pPr>
              <w:rPr>
                <w:lang w:val="en-US"/>
              </w:rPr>
            </w:pPr>
          </w:p>
        </w:tc>
      </w:tr>
      <w:tr w:rsidR="008D6EDE" w14:paraId="41DB8279" w14:textId="77777777" w:rsidTr="004A6C02">
        <w:tc>
          <w:tcPr>
            <w:tcW w:w="709" w:type="dxa"/>
          </w:tcPr>
          <w:p w14:paraId="16764AD4" w14:textId="3F010FE7" w:rsidR="008D6EDE" w:rsidRPr="0087699F" w:rsidRDefault="00527CB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FR24</w:t>
            </w:r>
          </w:p>
        </w:tc>
        <w:tc>
          <w:tcPr>
            <w:tcW w:w="8307" w:type="dxa"/>
          </w:tcPr>
          <w:p w14:paraId="003894D6" w14:textId="77777777" w:rsidR="008D6EDE" w:rsidRPr="004A6C02" w:rsidRDefault="00527CBB">
            <w:pPr>
              <w:rPr>
                <w:b/>
                <w:bCs/>
                <w:lang w:val="en-US"/>
              </w:rPr>
            </w:pPr>
            <w:r w:rsidRPr="004A6C02">
              <w:rPr>
                <w:b/>
                <w:bCs/>
                <w:lang w:val="en-US"/>
              </w:rPr>
              <w:t>Forward Work Programme</w:t>
            </w:r>
          </w:p>
          <w:p w14:paraId="2D227A97" w14:textId="77777777" w:rsidR="00527CBB" w:rsidRDefault="00527CBB" w:rsidP="00527CBB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Members reviewed the following policies: </w:t>
            </w:r>
          </w:p>
          <w:p w14:paraId="343C6360" w14:textId="6B42EFA6" w:rsidR="00527CBB" w:rsidRDefault="00527CBB" w:rsidP="00527CBB">
            <w:pPr>
              <w:pStyle w:val="ListParagraph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Mayor’s Allowances</w:t>
            </w:r>
            <w:r w:rsidR="00262EF0">
              <w:rPr>
                <w:lang w:val="en-US"/>
              </w:rPr>
              <w:br/>
            </w:r>
            <w:r w:rsidR="00C26B2F">
              <w:rPr>
                <w:lang w:val="en-US"/>
              </w:rPr>
              <w:t xml:space="preserve">Members agreed to replace the last </w:t>
            </w:r>
            <w:r w:rsidR="009010FE">
              <w:rPr>
                <w:lang w:val="en-US"/>
              </w:rPr>
              <w:t xml:space="preserve">paragraph of the policy noting that the Mayor’s allowance is not paid as a round sum. </w:t>
            </w:r>
            <w:r w:rsidR="00E21243">
              <w:rPr>
                <w:lang w:val="en-US"/>
              </w:rPr>
              <w:t xml:space="preserve">To amend the policy to align with the working practice </w:t>
            </w:r>
            <w:r w:rsidR="00897F4D">
              <w:rPr>
                <w:lang w:val="en-US"/>
              </w:rPr>
              <w:t xml:space="preserve">being paid in arrears upon </w:t>
            </w:r>
            <w:r w:rsidR="00EA6F9B">
              <w:rPr>
                <w:lang w:val="en-US"/>
              </w:rPr>
              <w:t xml:space="preserve">proof of </w:t>
            </w:r>
            <w:r w:rsidR="00897F4D">
              <w:rPr>
                <w:lang w:val="en-US"/>
              </w:rPr>
              <w:t xml:space="preserve">receipt. </w:t>
            </w:r>
          </w:p>
          <w:p w14:paraId="442CAE22" w14:textId="5F1B4650" w:rsidR="00527CBB" w:rsidRDefault="00527CBB" w:rsidP="00527CBB">
            <w:pPr>
              <w:pStyle w:val="ListParagraph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Investment Strategy</w:t>
            </w:r>
            <w:r w:rsidR="005B68BD">
              <w:rPr>
                <w:lang w:val="en-US"/>
              </w:rPr>
              <w:br/>
            </w:r>
            <w:r w:rsidR="004515C0">
              <w:rPr>
                <w:lang w:val="en-US"/>
              </w:rPr>
              <w:t xml:space="preserve">Members </w:t>
            </w:r>
            <w:r w:rsidR="00BD434E">
              <w:rPr>
                <w:lang w:val="en-US"/>
              </w:rPr>
              <w:t xml:space="preserve">wanted to ensure that the funds were invested ethically and </w:t>
            </w:r>
            <w:r w:rsidR="00BD434E">
              <w:rPr>
                <w:lang w:val="en-US"/>
              </w:rPr>
              <w:lastRenderedPageBreak/>
              <w:t xml:space="preserve">that was reflected in the policy. </w:t>
            </w:r>
            <w:r w:rsidR="003718F9">
              <w:rPr>
                <w:lang w:val="en-US"/>
              </w:rPr>
              <w:t>To follow up with the Responsible Finance Officer with this.</w:t>
            </w:r>
          </w:p>
          <w:p w14:paraId="5BCAC00F" w14:textId="77777777" w:rsidR="00527CBB" w:rsidRDefault="00527CBB" w:rsidP="00527CBB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Members approved the following draft policy:</w:t>
            </w:r>
          </w:p>
          <w:p w14:paraId="6FDAA7C4" w14:textId="34335261" w:rsidR="00527CBB" w:rsidRDefault="00527CBB" w:rsidP="00527CBB">
            <w:pPr>
              <w:pStyle w:val="ListParagraph"/>
              <w:numPr>
                <w:ilvl w:val="1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Fla</w:t>
            </w:r>
            <w:r w:rsidR="00D32B6F">
              <w:rPr>
                <w:lang w:val="en-US"/>
              </w:rPr>
              <w:t>g</w:t>
            </w:r>
            <w:r>
              <w:rPr>
                <w:lang w:val="en-US"/>
              </w:rPr>
              <w:t xml:space="preserve"> Flying Policy</w:t>
            </w:r>
            <w:r w:rsidR="00437821">
              <w:rPr>
                <w:lang w:val="en-US"/>
              </w:rPr>
              <w:br/>
            </w:r>
            <w:r w:rsidR="006105C6">
              <w:rPr>
                <w:lang w:val="en-US"/>
              </w:rPr>
              <w:t xml:space="preserve">Members received a draft Flag Flying Policy. </w:t>
            </w:r>
            <w:r w:rsidR="000212B8">
              <w:rPr>
                <w:lang w:val="en-US"/>
              </w:rPr>
              <w:br/>
            </w:r>
            <w:r w:rsidR="00F37B35">
              <w:rPr>
                <w:lang w:val="en-US"/>
              </w:rPr>
              <w:t xml:space="preserve">Cllr </w:t>
            </w:r>
            <w:r w:rsidR="00461F14">
              <w:rPr>
                <w:lang w:val="en-US"/>
              </w:rPr>
              <w:t>Keyser</w:t>
            </w:r>
            <w:r w:rsidR="00F37B35">
              <w:rPr>
                <w:lang w:val="en-US"/>
              </w:rPr>
              <w:t xml:space="preserve"> proposed that the Flag Flying Policy is adopted as written with one amendment to include the flag flying calendar as the second page</w:t>
            </w:r>
            <w:r w:rsidR="00461F14">
              <w:rPr>
                <w:lang w:val="en-US"/>
              </w:rPr>
              <w:t xml:space="preserve">, seconded by </w:t>
            </w:r>
            <w:r w:rsidR="00F37B35">
              <w:rPr>
                <w:lang w:val="en-US"/>
              </w:rPr>
              <w:t xml:space="preserve">Cllr </w:t>
            </w:r>
            <w:r w:rsidR="00461F14">
              <w:rPr>
                <w:lang w:val="en-US"/>
              </w:rPr>
              <w:t xml:space="preserve">Rickard. </w:t>
            </w:r>
            <w:r w:rsidR="00F37B35">
              <w:rPr>
                <w:lang w:val="en-US"/>
              </w:rPr>
              <w:t xml:space="preserve">All in favour, motion carried. </w:t>
            </w:r>
          </w:p>
          <w:p w14:paraId="52989F0C" w14:textId="29926E30" w:rsidR="00461F14" w:rsidRDefault="00461F14" w:rsidP="00461F14">
            <w:pPr>
              <w:pStyle w:val="ListParagraph"/>
              <w:ind w:left="1440"/>
              <w:rPr>
                <w:lang w:val="en-US"/>
              </w:rPr>
            </w:pPr>
            <w:r w:rsidRPr="006105C6">
              <w:rPr>
                <w:b/>
                <w:bCs/>
                <w:lang w:val="en-US"/>
              </w:rPr>
              <w:t>RESOLVED:</w:t>
            </w:r>
            <w:r>
              <w:rPr>
                <w:lang w:val="en-US"/>
              </w:rPr>
              <w:t xml:space="preserve"> </w:t>
            </w:r>
            <w:r w:rsidR="006105C6">
              <w:rPr>
                <w:lang w:val="en-US"/>
              </w:rPr>
              <w:t xml:space="preserve">That the Flag Flying Policy is adopted as written </w:t>
            </w:r>
            <w:r w:rsidR="00FE66CF">
              <w:rPr>
                <w:lang w:val="en-US"/>
              </w:rPr>
              <w:t>and to include the flag flying calendar on the second page.</w:t>
            </w:r>
          </w:p>
          <w:p w14:paraId="53215C37" w14:textId="069AC5E7" w:rsidR="00527CBB" w:rsidRPr="00527CBB" w:rsidRDefault="00527CBB" w:rsidP="00527CBB">
            <w:pPr>
              <w:pStyle w:val="ListParagraph"/>
              <w:ind w:left="1440"/>
              <w:rPr>
                <w:lang w:val="en-US"/>
              </w:rPr>
            </w:pPr>
          </w:p>
        </w:tc>
      </w:tr>
      <w:tr w:rsidR="008D6EDE" w14:paraId="5DEE821A" w14:textId="77777777" w:rsidTr="004A6C02">
        <w:tc>
          <w:tcPr>
            <w:tcW w:w="709" w:type="dxa"/>
          </w:tcPr>
          <w:p w14:paraId="612B3B0D" w14:textId="5BB5C6D4" w:rsidR="008D6EDE" w:rsidRPr="0087699F" w:rsidRDefault="00527CB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FR25</w:t>
            </w:r>
          </w:p>
        </w:tc>
        <w:tc>
          <w:tcPr>
            <w:tcW w:w="8307" w:type="dxa"/>
          </w:tcPr>
          <w:p w14:paraId="175A4C47" w14:textId="77777777" w:rsidR="008D6EDE" w:rsidRPr="004A6C02" w:rsidRDefault="00527CBB">
            <w:pPr>
              <w:rPr>
                <w:b/>
                <w:bCs/>
                <w:lang w:val="en-US"/>
              </w:rPr>
            </w:pPr>
            <w:r w:rsidRPr="004A6C02">
              <w:rPr>
                <w:b/>
                <w:bCs/>
                <w:lang w:val="en-US"/>
              </w:rPr>
              <w:t>Grants</w:t>
            </w:r>
          </w:p>
          <w:p w14:paraId="36443CC6" w14:textId="41BAFAE4" w:rsidR="00527CBB" w:rsidRDefault="00527CBB" w:rsidP="00527CBB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Members received a grant application requesting £1,500 from Chipping Norton Music Festival. </w:t>
            </w:r>
            <w:r w:rsidR="00905EF5">
              <w:rPr>
                <w:lang w:val="en-US"/>
              </w:rPr>
              <w:br/>
              <w:t xml:space="preserve">Cllr Coleman </w:t>
            </w:r>
            <w:r w:rsidR="006B7FFD">
              <w:rPr>
                <w:lang w:val="en-US"/>
              </w:rPr>
              <w:t>p</w:t>
            </w:r>
            <w:r w:rsidR="00905EF5">
              <w:rPr>
                <w:lang w:val="en-US"/>
              </w:rPr>
              <w:t>roposed</w:t>
            </w:r>
            <w:r w:rsidR="006B7FFD">
              <w:rPr>
                <w:lang w:val="en-US"/>
              </w:rPr>
              <w:t xml:space="preserve"> to </w:t>
            </w:r>
            <w:r w:rsidR="00E76000">
              <w:rPr>
                <w:lang w:val="en-US"/>
              </w:rPr>
              <w:t xml:space="preserve">that the Chipping Norton Music Festival is given £750 with the stipulation that they work with the Facilities and Events Officer to ensure that the </w:t>
            </w:r>
            <w:r w:rsidR="00D94301">
              <w:rPr>
                <w:lang w:val="en-US"/>
              </w:rPr>
              <w:t>use of the Town Hall is not impacted outside of their booked hours</w:t>
            </w:r>
            <w:r w:rsidR="00905EF5">
              <w:rPr>
                <w:lang w:val="en-US"/>
              </w:rPr>
              <w:t xml:space="preserve">, seconded by </w:t>
            </w:r>
            <w:r w:rsidR="00535D95">
              <w:rPr>
                <w:lang w:val="en-US"/>
              </w:rPr>
              <w:t xml:space="preserve">Cllr </w:t>
            </w:r>
            <w:r w:rsidR="00905EF5">
              <w:rPr>
                <w:lang w:val="en-US"/>
              </w:rPr>
              <w:t xml:space="preserve">Keyser. All in favour, motion carried. </w:t>
            </w:r>
            <w:r>
              <w:rPr>
                <w:lang w:val="en-US"/>
              </w:rPr>
              <w:br/>
            </w:r>
            <w:r w:rsidRPr="00D94301">
              <w:rPr>
                <w:b/>
                <w:bCs/>
                <w:lang w:val="en-US"/>
              </w:rPr>
              <w:t xml:space="preserve">RESOLVED: </w:t>
            </w:r>
            <w:r>
              <w:rPr>
                <w:lang w:val="en-US"/>
              </w:rPr>
              <w:t>That</w:t>
            </w:r>
            <w:r w:rsidR="00905EF5">
              <w:rPr>
                <w:lang w:val="en-US"/>
              </w:rPr>
              <w:t xml:space="preserve"> the Chipping Norton Music Festival is given £750 with a stipulation that they must work with the Facilities and Events Officer to ensure that the use of the Town Hall is not interrupted.</w:t>
            </w:r>
            <w:r w:rsidR="00741238">
              <w:rPr>
                <w:lang w:val="en-US"/>
              </w:rPr>
              <w:t xml:space="preserve"> Cllrs would also like to request an update report for next year noting how children in Chipping Norton schools hav</w:t>
            </w:r>
            <w:r w:rsidR="00B33BB6">
              <w:rPr>
                <w:lang w:val="en-US"/>
              </w:rPr>
              <w:t xml:space="preserve">e benefited from the grant funding. </w:t>
            </w:r>
          </w:p>
          <w:p w14:paraId="40078AB8" w14:textId="77777777" w:rsidR="00527CBB" w:rsidRDefault="00527CBB" w:rsidP="00527CBB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Members received and noted letters of thanks f</w:t>
            </w:r>
            <w:r w:rsidR="004A6C02">
              <w:rPr>
                <w:lang w:val="en-US"/>
              </w:rPr>
              <w:t>ollowing the recent grant applications.</w:t>
            </w:r>
          </w:p>
          <w:p w14:paraId="52854680" w14:textId="44F0E625" w:rsidR="004A6C02" w:rsidRPr="00527CBB" w:rsidRDefault="004A6C02" w:rsidP="004A6C02">
            <w:pPr>
              <w:pStyle w:val="ListParagraph"/>
              <w:rPr>
                <w:lang w:val="en-US"/>
              </w:rPr>
            </w:pPr>
          </w:p>
        </w:tc>
      </w:tr>
      <w:tr w:rsidR="008D6EDE" w14:paraId="5EE06FDB" w14:textId="77777777" w:rsidTr="004A6C02">
        <w:tc>
          <w:tcPr>
            <w:tcW w:w="709" w:type="dxa"/>
          </w:tcPr>
          <w:p w14:paraId="1BCBB323" w14:textId="42BFFD3D" w:rsidR="008D6EDE" w:rsidRPr="004A6C02" w:rsidRDefault="004A6C02">
            <w:pPr>
              <w:rPr>
                <w:b/>
                <w:bCs/>
                <w:lang w:val="en-US"/>
              </w:rPr>
            </w:pPr>
            <w:r w:rsidRPr="004A6C02">
              <w:rPr>
                <w:b/>
                <w:bCs/>
                <w:lang w:val="en-US"/>
              </w:rPr>
              <w:t>FR26</w:t>
            </w:r>
          </w:p>
        </w:tc>
        <w:tc>
          <w:tcPr>
            <w:tcW w:w="8307" w:type="dxa"/>
          </w:tcPr>
          <w:p w14:paraId="16C416BB" w14:textId="77777777" w:rsidR="008D6EDE" w:rsidRPr="004A6C02" w:rsidRDefault="004A6C02">
            <w:pPr>
              <w:rPr>
                <w:b/>
                <w:bCs/>
                <w:lang w:val="en-US"/>
              </w:rPr>
            </w:pPr>
            <w:r w:rsidRPr="004A6C02">
              <w:rPr>
                <w:b/>
                <w:bCs/>
                <w:lang w:val="en-US"/>
              </w:rPr>
              <w:t>Date of the next meeting</w:t>
            </w:r>
          </w:p>
          <w:p w14:paraId="1EAFF76E" w14:textId="77777777" w:rsidR="004A6C02" w:rsidRDefault="004A6C02">
            <w:pPr>
              <w:rPr>
                <w:lang w:val="en-US"/>
              </w:rPr>
            </w:pPr>
            <w:r>
              <w:rPr>
                <w:lang w:val="en-US"/>
              </w:rPr>
              <w:t>Monday 18</w:t>
            </w:r>
            <w:r w:rsidRPr="004A6C02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November 2024</w:t>
            </w:r>
          </w:p>
          <w:p w14:paraId="70A401A8" w14:textId="7523E8E7" w:rsidR="004A6C02" w:rsidRDefault="004A6C02">
            <w:pPr>
              <w:rPr>
                <w:lang w:val="en-US"/>
              </w:rPr>
            </w:pPr>
          </w:p>
        </w:tc>
      </w:tr>
    </w:tbl>
    <w:p w14:paraId="4EAB76CB" w14:textId="77777777" w:rsidR="006659BB" w:rsidRDefault="006659BB">
      <w:pPr>
        <w:rPr>
          <w:lang w:val="en-US"/>
        </w:rPr>
      </w:pPr>
    </w:p>
    <w:p w14:paraId="64806D62" w14:textId="2BC659B8" w:rsidR="002E4AD9" w:rsidRPr="006659BB" w:rsidRDefault="002E4AD9">
      <w:pPr>
        <w:rPr>
          <w:lang w:val="en-US"/>
        </w:rPr>
      </w:pPr>
      <w:r>
        <w:rPr>
          <w:lang w:val="en-US"/>
        </w:rPr>
        <w:t xml:space="preserve">The Chair closed the meeting at </w:t>
      </w:r>
      <w:r w:rsidR="00B33BB6">
        <w:rPr>
          <w:lang w:val="en-US"/>
        </w:rPr>
        <w:t>7:43</w:t>
      </w:r>
      <w:r>
        <w:rPr>
          <w:lang w:val="en-US"/>
        </w:rPr>
        <w:t xml:space="preserve">pm. </w:t>
      </w:r>
    </w:p>
    <w:sectPr w:rsidR="002E4AD9" w:rsidRPr="006659B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B0611" w14:textId="77777777" w:rsidR="004E09A9" w:rsidRDefault="004E09A9" w:rsidP="006659BB">
      <w:pPr>
        <w:spacing w:after="0" w:line="240" w:lineRule="auto"/>
      </w:pPr>
      <w:r>
        <w:separator/>
      </w:r>
    </w:p>
  </w:endnote>
  <w:endnote w:type="continuationSeparator" w:id="0">
    <w:p w14:paraId="57778845" w14:textId="77777777" w:rsidR="004E09A9" w:rsidRDefault="004E09A9" w:rsidP="006659BB">
      <w:pPr>
        <w:spacing w:after="0" w:line="240" w:lineRule="auto"/>
      </w:pPr>
      <w:r>
        <w:continuationSeparator/>
      </w:r>
    </w:p>
  </w:endnote>
  <w:endnote w:type="continuationNotice" w:id="1">
    <w:p w14:paraId="49AFDA6D" w14:textId="77777777" w:rsidR="004E09A9" w:rsidRDefault="004E09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49518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1CD85" w14:textId="31F8D00F" w:rsidR="00E72A92" w:rsidRDefault="00E72A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CD13B4" w14:textId="77777777" w:rsidR="00E72A92" w:rsidRDefault="00E72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C96CF" w14:textId="77777777" w:rsidR="004E09A9" w:rsidRDefault="004E09A9" w:rsidP="006659BB">
      <w:pPr>
        <w:spacing w:after="0" w:line="240" w:lineRule="auto"/>
      </w:pPr>
      <w:r>
        <w:separator/>
      </w:r>
    </w:p>
  </w:footnote>
  <w:footnote w:type="continuationSeparator" w:id="0">
    <w:p w14:paraId="773C7FDD" w14:textId="77777777" w:rsidR="004E09A9" w:rsidRDefault="004E09A9" w:rsidP="006659BB">
      <w:pPr>
        <w:spacing w:after="0" w:line="240" w:lineRule="auto"/>
      </w:pPr>
      <w:r>
        <w:continuationSeparator/>
      </w:r>
    </w:p>
  </w:footnote>
  <w:footnote w:type="continuationNotice" w:id="1">
    <w:p w14:paraId="5A55643A" w14:textId="77777777" w:rsidR="004E09A9" w:rsidRDefault="004E09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E04F7" w14:textId="7FD59D83" w:rsidR="006659BB" w:rsidRDefault="006659BB" w:rsidP="006659BB">
    <w:pPr>
      <w:pStyle w:val="Heading1"/>
      <w:spacing w:before="0" w:after="0"/>
      <w:jc w:val="right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D472D6" wp14:editId="3876F6A0">
          <wp:simplePos x="0" y="0"/>
          <wp:positionH relativeFrom="margin">
            <wp:posOffset>38100</wp:posOffset>
          </wp:positionH>
          <wp:positionV relativeFrom="margin">
            <wp:posOffset>-1173480</wp:posOffset>
          </wp:positionV>
          <wp:extent cx="838200" cy="845820"/>
          <wp:effectExtent l="0" t="0" r="0" b="0"/>
          <wp:wrapSquare wrapText="bothSides"/>
          <wp:docPr id="1" name="Picture 1" descr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age1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                                                                                                                  CHIPPING NORTON TOWN COUNCIL</w:t>
    </w:r>
  </w:p>
  <w:p w14:paraId="45413180" w14:textId="77777777" w:rsidR="006659BB" w:rsidRDefault="006659BB" w:rsidP="006659BB">
    <w:pPr>
      <w:keepNext/>
      <w:spacing w:after="0"/>
      <w:jc w:val="right"/>
      <w:outlineLvl w:val="1"/>
      <w:rPr>
        <w:rFonts w:ascii="Arial" w:hAnsi="Arial"/>
        <w:b/>
      </w:rPr>
    </w:pPr>
    <w:r>
      <w:rPr>
        <w:rFonts w:ascii="Arial" w:hAnsi="Arial"/>
        <w:b/>
      </w:rPr>
      <w:t>THE GUILDHALL, CHIPPING NORTON, OXFORDSHIRE OX7 5NJ</w:t>
    </w:r>
  </w:p>
  <w:p w14:paraId="7114D70F" w14:textId="77777777" w:rsidR="006659BB" w:rsidRDefault="006659BB" w:rsidP="006659BB">
    <w:pPr>
      <w:spacing w:after="0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TEL: 01608 642341</w:t>
    </w:r>
  </w:p>
  <w:p w14:paraId="478B594D" w14:textId="77777777" w:rsidR="006659BB" w:rsidRDefault="006659BB" w:rsidP="006659BB">
    <w:pPr>
      <w:spacing w:after="0"/>
      <w:jc w:val="right"/>
    </w:pPr>
    <w:r>
      <w:rPr>
        <w:rFonts w:ascii="Arial" w:hAnsi="Arial"/>
        <w:sz w:val="18"/>
      </w:rPr>
      <w:t xml:space="preserve"> Email: townclerk@chippingnorton-tc.gov.uk</w:t>
    </w:r>
  </w:p>
  <w:p w14:paraId="47EDCCBE" w14:textId="77777777" w:rsidR="006659BB" w:rsidRPr="00413336" w:rsidRDefault="006659BB" w:rsidP="006659BB">
    <w:pPr>
      <w:spacing w:after="0"/>
      <w:jc w:val="right"/>
      <w:rPr>
        <w:rFonts w:ascii="Arial" w:hAnsi="Arial"/>
        <w:sz w:val="18"/>
      </w:rPr>
    </w:pPr>
    <w:r>
      <w:rPr>
        <w:rFonts w:ascii="Arial" w:hAnsi="Arial"/>
        <w:sz w:val="16"/>
      </w:rPr>
      <w:t xml:space="preserve">                                                                                          </w:t>
    </w:r>
    <w:r>
      <w:rPr>
        <w:rFonts w:ascii="Arial" w:hAnsi="Arial"/>
        <w:sz w:val="18"/>
      </w:rPr>
      <w:t>Office Hours: Mon – Fri 9am – 1pm</w:t>
    </w:r>
  </w:p>
  <w:p w14:paraId="62573289" w14:textId="77777777" w:rsidR="006659BB" w:rsidRDefault="00665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46132"/>
    <w:multiLevelType w:val="hybridMultilevel"/>
    <w:tmpl w:val="9D567F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848D8"/>
    <w:multiLevelType w:val="hybridMultilevel"/>
    <w:tmpl w:val="0DEA09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B6FAF"/>
    <w:multiLevelType w:val="hybridMultilevel"/>
    <w:tmpl w:val="67CA12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988316">
    <w:abstractNumId w:val="1"/>
  </w:num>
  <w:num w:numId="2" w16cid:durableId="942689617">
    <w:abstractNumId w:val="0"/>
  </w:num>
  <w:num w:numId="3" w16cid:durableId="1356887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8F"/>
    <w:rsid w:val="000212B8"/>
    <w:rsid w:val="00091385"/>
    <w:rsid w:val="000E02DD"/>
    <w:rsid w:val="000E3B94"/>
    <w:rsid w:val="00186712"/>
    <w:rsid w:val="001A1117"/>
    <w:rsid w:val="001A695D"/>
    <w:rsid w:val="001B5699"/>
    <w:rsid w:val="001C188B"/>
    <w:rsid w:val="0020708A"/>
    <w:rsid w:val="00262EF0"/>
    <w:rsid w:val="002D56CC"/>
    <w:rsid w:val="002E4AD9"/>
    <w:rsid w:val="002F6CAA"/>
    <w:rsid w:val="003542ED"/>
    <w:rsid w:val="00362D59"/>
    <w:rsid w:val="003718F9"/>
    <w:rsid w:val="003F1561"/>
    <w:rsid w:val="004260A7"/>
    <w:rsid w:val="00437821"/>
    <w:rsid w:val="004515C0"/>
    <w:rsid w:val="00461F14"/>
    <w:rsid w:val="00477A7F"/>
    <w:rsid w:val="004A6C02"/>
    <w:rsid w:val="004C37C1"/>
    <w:rsid w:val="004D2F69"/>
    <w:rsid w:val="004E09A9"/>
    <w:rsid w:val="004F2DD2"/>
    <w:rsid w:val="0051423E"/>
    <w:rsid w:val="00516B0D"/>
    <w:rsid w:val="00527CBB"/>
    <w:rsid w:val="00535CA9"/>
    <w:rsid w:val="00535D95"/>
    <w:rsid w:val="0054559D"/>
    <w:rsid w:val="00565106"/>
    <w:rsid w:val="005B5E04"/>
    <w:rsid w:val="005B68BD"/>
    <w:rsid w:val="006105C6"/>
    <w:rsid w:val="00622F8D"/>
    <w:rsid w:val="0065123E"/>
    <w:rsid w:val="006659BB"/>
    <w:rsid w:val="00675B5A"/>
    <w:rsid w:val="006951AA"/>
    <w:rsid w:val="006B5086"/>
    <w:rsid w:val="006B7FFD"/>
    <w:rsid w:val="006C094A"/>
    <w:rsid w:val="006C3896"/>
    <w:rsid w:val="006D12D7"/>
    <w:rsid w:val="006F17B3"/>
    <w:rsid w:val="00741238"/>
    <w:rsid w:val="0074422D"/>
    <w:rsid w:val="00790FED"/>
    <w:rsid w:val="007F0FCE"/>
    <w:rsid w:val="00801919"/>
    <w:rsid w:val="0080581C"/>
    <w:rsid w:val="00813759"/>
    <w:rsid w:val="0087699F"/>
    <w:rsid w:val="00897F4D"/>
    <w:rsid w:val="008C7137"/>
    <w:rsid w:val="008D6EDE"/>
    <w:rsid w:val="008E5AB0"/>
    <w:rsid w:val="009010FE"/>
    <w:rsid w:val="00905EF5"/>
    <w:rsid w:val="00996A8A"/>
    <w:rsid w:val="009A0533"/>
    <w:rsid w:val="009A1DC6"/>
    <w:rsid w:val="009B3CA7"/>
    <w:rsid w:val="009E3440"/>
    <w:rsid w:val="00A20BE6"/>
    <w:rsid w:val="00A9577E"/>
    <w:rsid w:val="00A957CB"/>
    <w:rsid w:val="00AA2BA3"/>
    <w:rsid w:val="00AA5FB2"/>
    <w:rsid w:val="00AD4246"/>
    <w:rsid w:val="00AF2C26"/>
    <w:rsid w:val="00B07C47"/>
    <w:rsid w:val="00B17EA7"/>
    <w:rsid w:val="00B33BB6"/>
    <w:rsid w:val="00B3406C"/>
    <w:rsid w:val="00B4446B"/>
    <w:rsid w:val="00B565A0"/>
    <w:rsid w:val="00B868FC"/>
    <w:rsid w:val="00BB33CA"/>
    <w:rsid w:val="00BD434E"/>
    <w:rsid w:val="00BE56F7"/>
    <w:rsid w:val="00BF57C5"/>
    <w:rsid w:val="00C06B83"/>
    <w:rsid w:val="00C16B8B"/>
    <w:rsid w:val="00C26B2F"/>
    <w:rsid w:val="00CB51A1"/>
    <w:rsid w:val="00D064DA"/>
    <w:rsid w:val="00D32B6F"/>
    <w:rsid w:val="00D34CFB"/>
    <w:rsid w:val="00D379B4"/>
    <w:rsid w:val="00D56C57"/>
    <w:rsid w:val="00D57D04"/>
    <w:rsid w:val="00D92704"/>
    <w:rsid w:val="00D94301"/>
    <w:rsid w:val="00D9576D"/>
    <w:rsid w:val="00DB68DD"/>
    <w:rsid w:val="00E15794"/>
    <w:rsid w:val="00E21243"/>
    <w:rsid w:val="00E415B5"/>
    <w:rsid w:val="00E471AD"/>
    <w:rsid w:val="00E66E05"/>
    <w:rsid w:val="00E72A92"/>
    <w:rsid w:val="00E76000"/>
    <w:rsid w:val="00E8609A"/>
    <w:rsid w:val="00EA6F9B"/>
    <w:rsid w:val="00ED3D17"/>
    <w:rsid w:val="00F37B35"/>
    <w:rsid w:val="00F56CD8"/>
    <w:rsid w:val="00F60CF1"/>
    <w:rsid w:val="00F70AFB"/>
    <w:rsid w:val="00F8398F"/>
    <w:rsid w:val="00FC7E41"/>
    <w:rsid w:val="00FE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FC4B"/>
  <w15:chartTrackingRefBased/>
  <w15:docId w15:val="{699642D5-05B4-4934-8F92-0586C8B7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9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5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9BB"/>
  </w:style>
  <w:style w:type="paragraph" w:styleId="Footer">
    <w:name w:val="footer"/>
    <w:basedOn w:val="Normal"/>
    <w:link w:val="FooterChar"/>
    <w:uiPriority w:val="99"/>
    <w:unhideWhenUsed/>
    <w:rsid w:val="00665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9BB"/>
  </w:style>
  <w:style w:type="table" w:styleId="TableGrid">
    <w:name w:val="Table Grid"/>
    <w:basedOn w:val="TableNormal"/>
    <w:uiPriority w:val="39"/>
    <w:rsid w:val="0066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A180CA2E1EC48B81F5E8A9EB9AE56" ma:contentTypeVersion="18" ma:contentTypeDescription="Create a new document." ma:contentTypeScope="" ma:versionID="660b16aba526cf2030c96ed67636e071">
  <xsd:schema xmlns:xsd="http://www.w3.org/2001/XMLSchema" xmlns:xs="http://www.w3.org/2001/XMLSchema" xmlns:p="http://schemas.microsoft.com/office/2006/metadata/properties" xmlns:ns2="62a35e46-0a97-4c21-9285-2d20bdb86fb2" xmlns:ns3="97710249-6680-417f-9b2b-44ec5de92d1e" targetNamespace="http://schemas.microsoft.com/office/2006/metadata/properties" ma:root="true" ma:fieldsID="22ba3dde5682c3c334af77c1fde59e08" ns2:_="" ns3:_="">
    <xsd:import namespace="62a35e46-0a97-4c21-9285-2d20bdb86fb2"/>
    <xsd:import namespace="97710249-6680-417f-9b2b-44ec5de92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5e46-0a97-4c21-9285-2d20bdb8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eb9181-0fd6-45b1-9b02-798cb075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10249-6680-417f-9b2b-44ec5de92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398da-6b5a-47fb-8776-f21b0706baf5}" ma:internalName="TaxCatchAll" ma:showField="CatchAllData" ma:web="97710249-6680-417f-9b2b-44ec5de92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10249-6680-417f-9b2b-44ec5de92d1e" xsi:nil="true"/>
    <lcf76f155ced4ddcb4097134ff3c332f xmlns="62a35e46-0a97-4c21-9285-2d20bdb86f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5885EE-BF9E-4218-B1CE-B89522CE7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6AE62-E315-48A4-BBCB-3322EEE190BC}"/>
</file>

<file path=customXml/itemProps3.xml><?xml version="1.0" encoding="utf-8"?>
<ds:datastoreItem xmlns:ds="http://schemas.openxmlformats.org/officeDocument/2006/customXml" ds:itemID="{CFA1EF63-AA81-46A1-A8AE-CE3918B3F67A}">
  <ds:schemaRefs>
    <ds:schemaRef ds:uri="http://schemas.microsoft.com/office/2006/metadata/properties"/>
    <ds:schemaRef ds:uri="http://schemas.microsoft.com/office/infopath/2007/PartnerControls"/>
    <ds:schemaRef ds:uri="97710249-6680-417f-9b2b-44ec5de92d1e"/>
    <ds:schemaRef ds:uri="62a35e46-0a97-4c21-9285-2d20bdb86f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Jang</dc:creator>
  <cp:keywords/>
  <dc:description/>
  <cp:lastModifiedBy>Katherine Jang</cp:lastModifiedBy>
  <cp:revision>112</cp:revision>
  <dcterms:created xsi:type="dcterms:W3CDTF">2024-09-23T12:07:00Z</dcterms:created>
  <dcterms:modified xsi:type="dcterms:W3CDTF">2024-10-01T15:25:00Z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0x01010007CA180CA2E1EC48B81F5E8A9EB9AE56</vt:lpwstr>
  </property>
  <property fmtid="{D5CDD505-2E9C-101B-9397-08002B2CF9AE}" pid="3" name="MediaServiceImageTags">
    <vt:lpwstr/>
  </property>
</Properties>
</file>